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Bdr>
          <w:top w:space="0" w:sz="0" w:val="nil"/>
          <w:left w:space="0" w:sz="0" w:val="nil"/>
          <w:bottom w:space="0" w:sz="0" w:val="nil"/>
          <w:right w:space="0" w:sz="0" w:val="nil"/>
          <w:between w:space="0" w:sz="0" w:val="nil"/>
        </w:pBdr>
        <w:rPr/>
      </w:pPr>
      <w:bookmarkStart w:colFirst="0" w:colLast="0" w:name="_7g7p44s4us6s" w:id="0"/>
      <w:bookmarkEnd w:id="0"/>
      <w:r w:rsidDel="00000000" w:rsidR="00000000" w:rsidRPr="00000000">
        <w:rPr>
          <w:rtl w:val="0"/>
        </w:rPr>
        <w:t xml:space="preserve">Cost Report Web Release #470 Notes</w:t>
      </w:r>
    </w:p>
    <w:p w:rsidR="00000000" w:rsidDel="00000000" w:rsidP="00000000" w:rsidRDefault="00000000" w:rsidRPr="00000000" w14:paraId="00000002">
      <w:pPr>
        <w:pBdr>
          <w:top w:space="0" w:sz="0" w:val="nil"/>
          <w:left w:space="0" w:sz="0" w:val="nil"/>
          <w:bottom w:space="0" w:sz="0" w:val="nil"/>
          <w:right w:space="0" w:sz="0" w:val="nil"/>
          <w:between w:space="0" w:sz="0" w:val="nil"/>
        </w:pBdr>
        <w:rPr>
          <w:b w:val="1"/>
          <w:sz w:val="32"/>
          <w:szCs w:val="32"/>
          <w:highlight w:val="yellow"/>
          <w:u w:val="single"/>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rPr>
          <w:b w:val="1"/>
          <w:sz w:val="32"/>
          <w:szCs w:val="32"/>
          <w:highlight w:val="yellow"/>
          <w:u w:val="single"/>
        </w:rPr>
      </w:pPr>
      <w:r w:rsidDel="00000000" w:rsidR="00000000" w:rsidRPr="00000000">
        <w:rPr>
          <w:b w:val="1"/>
          <w:sz w:val="32"/>
          <w:szCs w:val="32"/>
          <w:highlight w:val="yellow"/>
          <w:u w:val="single"/>
          <w:rtl w:val="0"/>
        </w:rPr>
        <w:t xml:space="preserve">Software Update Process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To download the software updates, click on the following link and then click the download button (shown below):</w:t>
      </w:r>
    </w:p>
    <w:p w:rsidR="00000000" w:rsidDel="00000000" w:rsidP="00000000" w:rsidRDefault="00000000" w:rsidRPr="00000000" w14:paraId="00000006">
      <w:pPr>
        <w:rPr/>
      </w:pPr>
      <w:hyperlink r:id="rId6">
        <w:r w:rsidDel="00000000" w:rsidR="00000000" w:rsidRPr="00000000">
          <w:rPr>
            <w:color w:val="1155cc"/>
            <w:u w:val="single"/>
            <w:rtl w:val="0"/>
          </w:rPr>
          <w:t xml:space="preserve">http://www.rapsg.com/costreportweb.html</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drawing>
          <wp:inline distB="114300" distT="114300" distL="114300" distR="114300">
            <wp:extent cx="2857500" cy="2714625"/>
            <wp:effectExtent b="0" l="0" r="0" t="0"/>
            <wp:docPr id="3"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2857500" cy="2714625"/>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 Download the zip file labeled  “Cost Report Web - Application - Release #470”.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 Unzip the file and copy the new .WAR file to the server running the Tomcat web application server software.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 The .WAR file should be copied to the “/webapps” folder, replacing the existing “CostReport.war” file.  </w:t>
        <w:br w:type="textWrapping"/>
      </w:r>
    </w:p>
    <w:p w:rsidR="00000000" w:rsidDel="00000000" w:rsidP="00000000" w:rsidRDefault="00000000" w:rsidRPr="00000000" w14:paraId="0000000E">
      <w:pPr>
        <w:rPr/>
      </w:pPr>
      <w:r w:rsidDel="00000000" w:rsidR="00000000" w:rsidRPr="00000000">
        <w:rPr>
          <w:rtl w:val="0"/>
        </w:rPr>
        <w:t xml:space="preserve">For detailed steps, see the “Cost Report Technical Documentation” under the “Application Software Installation” -&gt; “Loading the Web Application” section.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sz w:val="30"/>
          <w:szCs w:val="30"/>
          <w:highlight w:val="yellow"/>
          <w:u w:val="single"/>
        </w:rPr>
      </w:pPr>
      <w:r w:rsidDel="00000000" w:rsidR="00000000" w:rsidRPr="00000000">
        <w:rPr>
          <w:b w:val="1"/>
          <w:sz w:val="30"/>
          <w:szCs w:val="30"/>
          <w:highlight w:val="yellow"/>
          <w:u w:val="single"/>
          <w:rtl w:val="0"/>
        </w:rPr>
        <w:t xml:space="preserve">Note for Local IT department if MySQL is upgraded to version 8+</w:t>
      </w:r>
    </w:p>
    <w:p w:rsidR="00000000" w:rsidDel="00000000" w:rsidP="00000000" w:rsidRDefault="00000000" w:rsidRPr="00000000" w14:paraId="00000016">
      <w:pPr>
        <w:spacing w:line="276" w:lineRule="auto"/>
        <w:ind w:left="0" w:firstLine="0"/>
        <w:rPr/>
      </w:pPr>
      <w:r w:rsidDel="00000000" w:rsidR="00000000" w:rsidRPr="00000000">
        <w:rPr>
          <w:rtl w:val="0"/>
        </w:rPr>
      </w:r>
    </w:p>
    <w:p w:rsidR="00000000" w:rsidDel="00000000" w:rsidP="00000000" w:rsidRDefault="00000000" w:rsidRPr="00000000" w14:paraId="00000017">
      <w:pPr>
        <w:spacing w:line="276" w:lineRule="auto"/>
        <w:ind w:left="0" w:firstLine="0"/>
        <w:rPr/>
      </w:pPr>
      <w:r w:rsidDel="00000000" w:rsidR="00000000" w:rsidRPr="00000000">
        <w:rPr>
          <w:u w:val="single"/>
          <w:rtl w:val="0"/>
        </w:rPr>
        <w:t xml:space="preserve">Summary:</w:t>
      </w:r>
      <w:r w:rsidDel="00000000" w:rsidR="00000000" w:rsidRPr="00000000">
        <w:rPr>
          <w:rtl w:val="0"/>
        </w:rPr>
        <w:t xml:space="preserve"> If your district decides to upgrade your local version of the MySQL database, please note the steps below.  Districts that upgraded to MySQL 8+ without the fix below had issues on the  Distribution &gt; Attribution Table page. These steps are needed because some default configuration settings in 8+ differ from prior releases.</w:t>
      </w:r>
    </w:p>
    <w:p w:rsidR="00000000" w:rsidDel="00000000" w:rsidP="00000000" w:rsidRDefault="00000000" w:rsidRPr="00000000" w14:paraId="00000018">
      <w:pPr>
        <w:spacing w:line="276" w:lineRule="auto"/>
        <w:ind w:left="720" w:firstLine="0"/>
        <w:rPr/>
      </w:pPr>
      <w:r w:rsidDel="00000000" w:rsidR="00000000" w:rsidRPr="00000000">
        <w:rPr>
          <w:rtl w:val="0"/>
        </w:rPr>
      </w:r>
    </w:p>
    <w:p w:rsidR="00000000" w:rsidDel="00000000" w:rsidP="00000000" w:rsidRDefault="00000000" w:rsidRPr="00000000" w14:paraId="00000019">
      <w:pPr>
        <w:spacing w:line="276" w:lineRule="auto"/>
        <w:rPr/>
      </w:pPr>
      <w:r w:rsidDel="00000000" w:rsidR="00000000" w:rsidRPr="00000000">
        <w:rPr>
          <w:u w:val="single"/>
          <w:rtl w:val="0"/>
        </w:rPr>
        <w:t xml:space="preserve">Steps:</w:t>
      </w:r>
      <w:r w:rsidDel="00000000" w:rsidR="00000000" w:rsidRPr="00000000">
        <w:rPr>
          <w:rtl w:val="0"/>
        </w:rPr>
        <w:t xml:space="preserve"> </w:t>
      </w:r>
    </w:p>
    <w:p w:rsidR="00000000" w:rsidDel="00000000" w:rsidP="00000000" w:rsidRDefault="00000000" w:rsidRPr="00000000" w14:paraId="0000001A">
      <w:pPr>
        <w:numPr>
          <w:ilvl w:val="0"/>
          <w:numId w:val="1"/>
        </w:numPr>
        <w:spacing w:line="276" w:lineRule="auto"/>
        <w:ind w:left="720" w:hanging="360"/>
      </w:pPr>
      <w:r w:rsidDel="00000000" w:rsidR="00000000" w:rsidRPr="00000000">
        <w:rPr>
          <w:rtl w:val="0"/>
        </w:rPr>
        <w:t xml:space="preserve">Add the following to remove warnings about SSL connections.</w:t>
      </w:r>
    </w:p>
    <w:p w:rsidR="00000000" w:rsidDel="00000000" w:rsidP="00000000" w:rsidRDefault="00000000" w:rsidRPr="00000000" w14:paraId="0000001B">
      <w:pPr>
        <w:widowControl w:val="1"/>
        <w:numPr>
          <w:ilvl w:val="1"/>
          <w:numId w:val="1"/>
        </w:numPr>
        <w:spacing w:line="276" w:lineRule="auto"/>
        <w:ind w:left="1440" w:hanging="360"/>
      </w:pPr>
      <w:r w:rsidDel="00000000" w:rsidR="00000000" w:rsidRPr="00000000">
        <w:rPr>
          <w:rtl w:val="0"/>
        </w:rPr>
        <w:t xml:space="preserve">Add to the “costreport.properties” file:</w:t>
      </w:r>
    </w:p>
    <w:p w:rsidR="00000000" w:rsidDel="00000000" w:rsidP="00000000" w:rsidRDefault="00000000" w:rsidRPr="00000000" w14:paraId="0000001C">
      <w:pPr>
        <w:widowControl w:val="1"/>
        <w:numPr>
          <w:ilvl w:val="2"/>
          <w:numId w:val="1"/>
        </w:numPr>
        <w:spacing w:line="276" w:lineRule="auto"/>
        <w:ind w:left="2160" w:hanging="360"/>
      </w:pPr>
      <w:r w:rsidDel="00000000" w:rsidR="00000000" w:rsidRPr="00000000">
        <w:rPr>
          <w:rFonts w:ascii="Courier New" w:cs="Courier New" w:eastAsia="Courier New" w:hAnsi="Courier New"/>
          <w:rtl w:val="0"/>
        </w:rPr>
        <w:t xml:space="preserve"># Database dsn (Data Storage Name) is the database URL dsn=jdbc:mysql://localhost/costreportdb</w:t>
      </w:r>
      <w:r w:rsidDel="00000000" w:rsidR="00000000" w:rsidRPr="00000000">
        <w:rPr>
          <w:rFonts w:ascii="Courier New" w:cs="Courier New" w:eastAsia="Courier New" w:hAnsi="Courier New"/>
          <w:highlight w:val="yellow"/>
          <w:rtl w:val="0"/>
        </w:rPr>
        <w:t xml:space="preserve">?useSSL=false</w:t>
      </w:r>
    </w:p>
    <w:p w:rsidR="00000000" w:rsidDel="00000000" w:rsidP="00000000" w:rsidRDefault="00000000" w:rsidRPr="00000000" w14:paraId="0000001D">
      <w:pPr>
        <w:widowControl w:val="1"/>
        <w:spacing w:line="276" w:lineRule="auto"/>
        <w:ind w:left="0" w:firstLine="0"/>
        <w:rPr>
          <w:rFonts w:ascii="Courier New" w:cs="Courier New" w:eastAsia="Courier New" w:hAnsi="Courier New"/>
          <w:highlight w:val="yellow"/>
        </w:rPr>
      </w:pPr>
      <w:r w:rsidDel="00000000" w:rsidR="00000000" w:rsidRPr="00000000">
        <w:rPr>
          <w:rtl w:val="0"/>
        </w:rPr>
      </w:r>
    </w:p>
    <w:p w:rsidR="00000000" w:rsidDel="00000000" w:rsidP="00000000" w:rsidRDefault="00000000" w:rsidRPr="00000000" w14:paraId="0000001E">
      <w:pPr>
        <w:numPr>
          <w:ilvl w:val="0"/>
          <w:numId w:val="1"/>
        </w:numPr>
        <w:spacing w:line="276" w:lineRule="auto"/>
        <w:ind w:left="720" w:hanging="360"/>
      </w:pPr>
      <w:r w:rsidDel="00000000" w:rsidR="00000000" w:rsidRPr="00000000">
        <w:rPr>
          <w:rtl w:val="0"/>
        </w:rPr>
        <w:t xml:space="preserve">Using MySQL Workbench to issue the following commands</w:t>
      </w:r>
    </w:p>
    <w:p w:rsidR="00000000" w:rsidDel="00000000" w:rsidP="00000000" w:rsidRDefault="00000000" w:rsidRPr="00000000" w14:paraId="0000001F">
      <w:pPr>
        <w:widowControl w:val="1"/>
        <w:numPr>
          <w:ilvl w:val="1"/>
          <w:numId w:val="1"/>
        </w:numPr>
        <w:spacing w:line="276" w:lineRule="auto"/>
        <w:ind w:left="1440" w:hanging="360"/>
      </w:pPr>
      <w:r w:rsidDel="00000000" w:rsidR="00000000" w:rsidRPr="00000000">
        <w:rPr>
          <w:rtl w:val="0"/>
        </w:rPr>
        <w:t xml:space="preserve">– This just shows the current mode. This step is optional</w:t>
      </w:r>
    </w:p>
    <w:p w:rsidR="00000000" w:rsidDel="00000000" w:rsidP="00000000" w:rsidRDefault="00000000" w:rsidRPr="00000000" w14:paraId="00000020">
      <w:pPr>
        <w:widowControl w:val="1"/>
        <w:numPr>
          <w:ilvl w:val="2"/>
          <w:numId w:val="1"/>
        </w:numPr>
        <w:spacing w:line="276" w:lineRule="auto"/>
        <w:ind w:left="2160" w:hanging="360"/>
      </w:pPr>
      <w:r w:rsidDel="00000000" w:rsidR="00000000" w:rsidRPr="00000000">
        <w:rPr>
          <w:rFonts w:ascii="Courier New" w:cs="Courier New" w:eastAsia="Courier New" w:hAnsi="Courier New"/>
          <w:rtl w:val="0"/>
        </w:rPr>
        <w:t xml:space="preserve">SELECT @@sql_mode statement;</w:t>
      </w:r>
    </w:p>
    <w:p w:rsidR="00000000" w:rsidDel="00000000" w:rsidP="00000000" w:rsidRDefault="00000000" w:rsidRPr="00000000" w14:paraId="00000021">
      <w:pPr>
        <w:widowControl w:val="1"/>
        <w:numPr>
          <w:ilvl w:val="1"/>
          <w:numId w:val="1"/>
        </w:numPr>
        <w:spacing w:line="276" w:lineRule="auto"/>
        <w:ind w:left="1440" w:hanging="360"/>
      </w:pPr>
      <w:r w:rsidDel="00000000" w:rsidR="00000000" w:rsidRPr="00000000">
        <w:rPr>
          <w:rtl w:val="0"/>
        </w:rPr>
        <w:t xml:space="preserve">– This fixes the sql mode issue. Run this on the MySQL Workbench</w:t>
      </w:r>
    </w:p>
    <w:p w:rsidR="00000000" w:rsidDel="00000000" w:rsidP="00000000" w:rsidRDefault="00000000" w:rsidRPr="00000000" w14:paraId="00000022">
      <w:pPr>
        <w:widowControl w:val="1"/>
        <w:numPr>
          <w:ilvl w:val="1"/>
          <w:numId w:val="1"/>
        </w:numPr>
        <w:spacing w:line="276" w:lineRule="auto"/>
        <w:ind w:left="1440" w:hanging="360"/>
      </w:pPr>
      <w:r w:rsidDel="00000000" w:rsidR="00000000" w:rsidRPr="00000000">
        <w:rPr>
          <w:rFonts w:ascii="Courier New" w:cs="Courier New" w:eastAsia="Courier New" w:hAnsi="Courier New"/>
          <w:sz w:val="20"/>
          <w:szCs w:val="20"/>
          <w:rtl w:val="0"/>
        </w:rPr>
        <w:t xml:space="preserve">SET GLOBAL sql_mode=(SELECT REPLACE(@@sql_mode,'ONLY_FULL_GROUP_BY',''));</w:t>
      </w:r>
    </w:p>
    <w:p w:rsidR="00000000" w:rsidDel="00000000" w:rsidP="00000000" w:rsidRDefault="00000000" w:rsidRPr="00000000" w14:paraId="00000023">
      <w:pPr>
        <w:spacing w:line="276" w:lineRule="auto"/>
        <w:rPr/>
      </w:pPr>
      <w:r w:rsidDel="00000000" w:rsidR="00000000" w:rsidRPr="00000000">
        <w:rPr>
          <w:rtl w:val="0"/>
        </w:rPr>
      </w:r>
    </w:p>
    <w:p w:rsidR="00000000" w:rsidDel="00000000" w:rsidP="00000000" w:rsidRDefault="00000000" w:rsidRPr="00000000" w14:paraId="00000024">
      <w:pPr>
        <w:spacing w:line="276" w:lineRule="auto"/>
        <w:rPr/>
      </w:pPr>
      <w:r w:rsidDel="00000000" w:rsidR="00000000" w:rsidRPr="00000000">
        <w:rPr>
          <w:rtl w:val="0"/>
        </w:rPr>
        <w:t xml:space="preserve">If you have questions about this section, please contact Rapid Solutions Group at </w:t>
      </w:r>
      <w:hyperlink r:id="rId8">
        <w:r w:rsidDel="00000000" w:rsidR="00000000" w:rsidRPr="00000000">
          <w:rPr>
            <w:color w:val="1155cc"/>
            <w:u w:val="single"/>
            <w:rtl w:val="0"/>
          </w:rPr>
          <w:t xml:space="preserve">support@rapsg.com</w:t>
        </w:r>
      </w:hyperlink>
      <w:r w:rsidDel="00000000" w:rsidR="00000000" w:rsidRPr="00000000">
        <w:rPr>
          <w:rtl w:val="0"/>
        </w:rPr>
      </w:r>
    </w:p>
    <w:p w:rsidR="00000000" w:rsidDel="00000000" w:rsidP="00000000" w:rsidRDefault="00000000" w:rsidRPr="00000000" w14:paraId="00000025">
      <w:pPr>
        <w:spacing w:line="276" w:lineRule="auto"/>
        <w:rPr/>
      </w:pPr>
      <w:r w:rsidDel="00000000" w:rsidR="00000000" w:rsidRPr="00000000">
        <w:rPr>
          <w:rtl w:val="0"/>
        </w:rPr>
      </w:r>
    </w:p>
    <w:p w:rsidR="00000000" w:rsidDel="00000000" w:rsidP="00000000" w:rsidRDefault="00000000" w:rsidRPr="00000000" w14:paraId="00000026">
      <w:pPr>
        <w:spacing w:line="276" w:lineRule="auto"/>
        <w:rPr/>
      </w:pPr>
      <w:r w:rsidDel="00000000" w:rsidR="00000000" w:rsidRPr="00000000">
        <w:rPr>
          <w:rtl w:val="0"/>
        </w:rPr>
      </w:r>
    </w:p>
    <w:p w:rsidR="00000000" w:rsidDel="00000000" w:rsidP="00000000" w:rsidRDefault="00000000" w:rsidRPr="00000000" w14:paraId="00000027">
      <w:pPr>
        <w:rPr>
          <w:b w:val="1"/>
          <w:sz w:val="32"/>
          <w:szCs w:val="32"/>
          <w:highlight w:val="yellow"/>
          <w:u w:val="single"/>
        </w:rPr>
      </w:pPr>
      <w:r w:rsidDel="00000000" w:rsidR="00000000" w:rsidRPr="00000000">
        <w:br w:type="page"/>
      </w:r>
      <w:r w:rsidDel="00000000" w:rsidR="00000000" w:rsidRPr="00000000">
        <w:rPr>
          <w:rtl w:val="0"/>
        </w:rPr>
      </w:r>
    </w:p>
    <w:p w:rsidR="00000000" w:rsidDel="00000000" w:rsidP="00000000" w:rsidRDefault="00000000" w:rsidRPr="00000000" w14:paraId="00000028">
      <w:pPr>
        <w:rPr/>
      </w:pPr>
      <w:r w:rsidDel="00000000" w:rsidR="00000000" w:rsidRPr="00000000">
        <w:rPr>
          <w:b w:val="1"/>
          <w:sz w:val="32"/>
          <w:szCs w:val="32"/>
          <w:highlight w:val="yellow"/>
          <w:u w:val="single"/>
          <w:rtl w:val="0"/>
        </w:rPr>
        <w:t xml:space="preserve">Log of Software changes in this release</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numPr>
          <w:ilvl w:val="0"/>
          <w:numId w:val="1"/>
        </w:numPr>
        <w:spacing w:line="276" w:lineRule="auto"/>
        <w:ind w:left="720" w:hanging="360"/>
      </w:pPr>
      <w:r w:rsidDel="00000000" w:rsidR="00000000" w:rsidRPr="00000000">
        <w:rPr>
          <w:rtl w:val="0"/>
        </w:rPr>
        <w:t xml:space="preserve">Setup &gt; Reports &gt; Roll Attribution Tables</w:t>
      </w:r>
    </w:p>
    <w:p w:rsidR="00000000" w:rsidDel="00000000" w:rsidP="00000000" w:rsidRDefault="00000000" w:rsidRPr="00000000" w14:paraId="0000002B">
      <w:pPr>
        <w:numPr>
          <w:ilvl w:val="1"/>
          <w:numId w:val="1"/>
        </w:numPr>
        <w:spacing w:line="276" w:lineRule="auto"/>
        <w:ind w:left="1440" w:hanging="360"/>
      </w:pPr>
      <w:r w:rsidDel="00000000" w:rsidR="00000000" w:rsidRPr="00000000">
        <w:rPr>
          <w:u w:val="single"/>
          <w:rtl w:val="0"/>
        </w:rPr>
        <w:t xml:space="preserve">Change #1</w:t>
      </w:r>
      <w:r w:rsidDel="00000000" w:rsidR="00000000" w:rsidRPr="00000000">
        <w:rPr>
          <w:rtl w:val="0"/>
        </w:rPr>
        <w:t xml:space="preserve">: Roll Table 00001 along with all other tables when this process is executed.</w:t>
      </w:r>
    </w:p>
    <w:p w:rsidR="00000000" w:rsidDel="00000000" w:rsidP="00000000" w:rsidRDefault="00000000" w:rsidRPr="00000000" w14:paraId="0000002C">
      <w:pPr>
        <w:numPr>
          <w:ilvl w:val="2"/>
          <w:numId w:val="1"/>
        </w:numPr>
        <w:spacing w:line="276" w:lineRule="auto"/>
        <w:ind w:left="2160" w:hanging="360"/>
      </w:pPr>
      <w:r w:rsidDel="00000000" w:rsidR="00000000" w:rsidRPr="00000000">
        <w:rPr>
          <w:u w:val="single"/>
          <w:rtl w:val="0"/>
        </w:rPr>
        <w:t xml:space="preserve">Reason for change:</w:t>
      </w:r>
      <w:r w:rsidDel="00000000" w:rsidR="00000000" w:rsidRPr="00000000">
        <w:rPr>
          <w:rtl w:val="0"/>
        </w:rPr>
        <w:t xml:space="preserve">  Districts were rolling Attribution Tables to a new FY, signing on to the new FY, and then navigating to the Cost Distribution &gt; Attribution Table page. When they viewed a rolled table, every line would appear in error because the system did not roll Table 00001. We are now rolling table 00001 along with all other tables. It should be noted that Table 00001 will eventually change once the SATSY and FTE data is loaded and processed in the new FY. Districts should be sure to review the “Create School/Programs Tables” report for errors at that time.</w:t>
      </w:r>
    </w:p>
    <w:p w:rsidR="00000000" w:rsidDel="00000000" w:rsidP="00000000" w:rsidRDefault="00000000" w:rsidRPr="00000000" w14:paraId="0000002D">
      <w:pPr>
        <w:numPr>
          <w:ilvl w:val="1"/>
          <w:numId w:val="1"/>
        </w:numPr>
        <w:ind w:left="1440" w:hanging="360"/>
        <w:rPr>
          <w:u w:val="none"/>
        </w:rPr>
      </w:pPr>
      <w:r w:rsidDel="00000000" w:rsidR="00000000" w:rsidRPr="00000000">
        <w:rPr>
          <w:u w:val="single"/>
          <w:rtl w:val="0"/>
        </w:rPr>
        <w:t xml:space="preserve">Change #2:</w:t>
      </w:r>
      <w:r w:rsidDel="00000000" w:rsidR="00000000" w:rsidRPr="00000000">
        <w:rPr>
          <w:rtl w:val="0"/>
        </w:rPr>
        <w:t xml:space="preserve"> Update message to indicate the roll to the new FY has to be done before this step. </w:t>
      </w:r>
    </w:p>
    <w:p w:rsidR="00000000" w:rsidDel="00000000" w:rsidP="00000000" w:rsidRDefault="00000000" w:rsidRPr="00000000" w14:paraId="0000002E">
      <w:pPr>
        <w:numPr>
          <w:ilvl w:val="2"/>
          <w:numId w:val="1"/>
        </w:numPr>
        <w:spacing w:line="276" w:lineRule="auto"/>
        <w:ind w:left="2160" w:hanging="360"/>
      </w:pPr>
      <w:r w:rsidDel="00000000" w:rsidR="00000000" w:rsidRPr="00000000">
        <w:rPr/>
        <w:drawing>
          <wp:inline distB="114300" distT="114300" distL="114300" distR="114300">
            <wp:extent cx="5486400" cy="2590800"/>
            <wp:effectExtent b="0" l="0" r="0" t="0"/>
            <wp:docPr id="7"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486400" cy="2590800"/>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spacing w:line="276" w:lineRule="auto"/>
        <w:ind w:left="720" w:firstLine="0"/>
        <w:rPr/>
      </w:pPr>
      <w:r w:rsidDel="00000000" w:rsidR="00000000" w:rsidRPr="00000000">
        <w:br w:type="page"/>
      </w:r>
      <w:r w:rsidDel="00000000" w:rsidR="00000000" w:rsidRPr="00000000">
        <w:rPr>
          <w:rtl w:val="0"/>
        </w:rPr>
      </w:r>
    </w:p>
    <w:p w:rsidR="00000000" w:rsidDel="00000000" w:rsidP="00000000" w:rsidRDefault="00000000" w:rsidRPr="00000000" w14:paraId="00000030">
      <w:pPr>
        <w:numPr>
          <w:ilvl w:val="0"/>
          <w:numId w:val="1"/>
        </w:numPr>
        <w:spacing w:line="276" w:lineRule="auto"/>
        <w:ind w:left="720" w:hanging="360"/>
      </w:pPr>
      <w:r w:rsidDel="00000000" w:rsidR="00000000" w:rsidRPr="00000000">
        <w:rPr>
          <w:rtl w:val="0"/>
        </w:rPr>
        <w:t xml:space="preserve">Cost Distribution &gt; Process/Reports &gt;  Step 3. School/Program table report </w:t>
      </w:r>
    </w:p>
    <w:p w:rsidR="00000000" w:rsidDel="00000000" w:rsidP="00000000" w:rsidRDefault="00000000" w:rsidRPr="00000000" w14:paraId="00000031">
      <w:pPr>
        <w:numPr>
          <w:ilvl w:val="1"/>
          <w:numId w:val="1"/>
        </w:numPr>
        <w:spacing w:line="276" w:lineRule="auto"/>
        <w:ind w:left="1440" w:hanging="360"/>
        <w:rPr>
          <w:u w:val="none"/>
        </w:rPr>
      </w:pPr>
      <w:r w:rsidDel="00000000" w:rsidR="00000000" w:rsidRPr="00000000">
        <w:rPr>
          <w:u w:val="single"/>
          <w:rtl w:val="0"/>
        </w:rPr>
        <w:t xml:space="preserve">Change:</w:t>
      </w:r>
      <w:r w:rsidDel="00000000" w:rsidR="00000000" w:rsidRPr="00000000">
        <w:rPr>
          <w:rtl w:val="0"/>
        </w:rPr>
        <w:t xml:space="preserve"> Add CSV option to this report.</w:t>
      </w:r>
    </w:p>
    <w:p w:rsidR="00000000" w:rsidDel="00000000" w:rsidP="00000000" w:rsidRDefault="00000000" w:rsidRPr="00000000" w14:paraId="00000032">
      <w:pPr>
        <w:numPr>
          <w:ilvl w:val="1"/>
          <w:numId w:val="1"/>
        </w:numPr>
        <w:spacing w:line="276" w:lineRule="auto"/>
        <w:ind w:left="1440" w:hanging="360"/>
      </w:pPr>
      <w:r w:rsidDel="00000000" w:rsidR="00000000" w:rsidRPr="00000000">
        <w:rPr/>
        <w:drawing>
          <wp:inline distB="114300" distT="114300" distL="114300" distR="114300">
            <wp:extent cx="4238625" cy="2247900"/>
            <wp:effectExtent b="0" l="0" r="0" t="0"/>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4238625" cy="2247900"/>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numPr>
          <w:ilvl w:val="0"/>
          <w:numId w:val="1"/>
        </w:numPr>
        <w:spacing w:line="276" w:lineRule="auto"/>
        <w:ind w:left="720" w:hanging="360"/>
      </w:pPr>
      <w:r w:rsidDel="00000000" w:rsidR="00000000" w:rsidRPr="00000000">
        <w:rPr>
          <w:rtl w:val="0"/>
        </w:rPr>
        <w:t xml:space="preserve">Cost Distribution &gt; Process/Reports &gt;  Step10 PC ¾ Report</w:t>
      </w:r>
    </w:p>
    <w:p w:rsidR="00000000" w:rsidDel="00000000" w:rsidP="00000000" w:rsidRDefault="00000000" w:rsidRPr="00000000" w14:paraId="00000034">
      <w:pPr>
        <w:numPr>
          <w:ilvl w:val="1"/>
          <w:numId w:val="1"/>
        </w:numPr>
        <w:ind w:left="1440" w:hanging="360"/>
        <w:rPr>
          <w:u w:val="none"/>
        </w:rPr>
      </w:pPr>
      <w:r w:rsidDel="00000000" w:rsidR="00000000" w:rsidRPr="00000000">
        <w:rPr>
          <w:u w:val="single"/>
          <w:rtl w:val="0"/>
        </w:rPr>
        <w:t xml:space="preserve">Change:</w:t>
      </w:r>
      <w:r w:rsidDel="00000000" w:rsidR="00000000" w:rsidRPr="00000000">
        <w:rPr>
          <w:rtl w:val="0"/>
        </w:rPr>
        <w:t xml:space="preserve"> This report already had a CSV option but did not show Functional costs. The functional costs have been added to the CSV output</w:t>
      </w:r>
    </w:p>
    <w:p w:rsidR="00000000" w:rsidDel="00000000" w:rsidP="00000000" w:rsidRDefault="00000000" w:rsidRPr="00000000" w14:paraId="00000035">
      <w:pPr>
        <w:numPr>
          <w:ilvl w:val="1"/>
          <w:numId w:val="1"/>
        </w:numPr>
        <w:spacing w:line="276" w:lineRule="auto"/>
        <w:ind w:left="1440" w:hanging="360"/>
      </w:pPr>
      <w:r w:rsidDel="00000000" w:rsidR="00000000" w:rsidRPr="00000000">
        <w:rPr/>
        <w:drawing>
          <wp:inline distB="114300" distT="114300" distL="114300" distR="114300">
            <wp:extent cx="5943600" cy="3505200"/>
            <wp:effectExtent b="0" l="0" r="0" t="0"/>
            <wp:docPr id="5"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5943600" cy="3505200"/>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spacing w:line="276" w:lineRule="auto"/>
        <w:ind w:left="720" w:firstLine="0"/>
        <w:rPr/>
      </w:pPr>
      <w:r w:rsidDel="00000000" w:rsidR="00000000" w:rsidRPr="00000000">
        <w:br w:type="page"/>
      </w:r>
      <w:r w:rsidDel="00000000" w:rsidR="00000000" w:rsidRPr="00000000">
        <w:rPr>
          <w:rtl w:val="0"/>
        </w:rPr>
      </w:r>
    </w:p>
    <w:p w:rsidR="00000000" w:rsidDel="00000000" w:rsidP="00000000" w:rsidRDefault="00000000" w:rsidRPr="00000000" w14:paraId="00000037">
      <w:pPr>
        <w:numPr>
          <w:ilvl w:val="0"/>
          <w:numId w:val="1"/>
        </w:numPr>
        <w:spacing w:line="276" w:lineRule="auto"/>
        <w:ind w:left="720" w:hanging="360"/>
      </w:pPr>
      <w:r w:rsidDel="00000000" w:rsidR="00000000" w:rsidRPr="00000000">
        <w:rPr>
          <w:rtl w:val="0"/>
        </w:rPr>
        <w:t xml:space="preserve">SATSY &gt; Process/Reports &gt;  Step12. School/District Summary </w:t>
      </w:r>
    </w:p>
    <w:p w:rsidR="00000000" w:rsidDel="00000000" w:rsidP="00000000" w:rsidRDefault="00000000" w:rsidRPr="00000000" w14:paraId="00000038">
      <w:pPr>
        <w:numPr>
          <w:ilvl w:val="1"/>
          <w:numId w:val="1"/>
        </w:numPr>
        <w:spacing w:line="276" w:lineRule="auto"/>
        <w:ind w:left="1440" w:hanging="360"/>
      </w:pPr>
      <w:r w:rsidDel="00000000" w:rsidR="00000000" w:rsidRPr="00000000">
        <w:rPr>
          <w:u w:val="single"/>
          <w:rtl w:val="0"/>
        </w:rPr>
        <w:t xml:space="preserve">Change:</w:t>
      </w:r>
      <w:r w:rsidDel="00000000" w:rsidR="00000000" w:rsidRPr="00000000">
        <w:rPr>
          <w:rtl w:val="0"/>
        </w:rPr>
        <w:t xml:space="preserve"> Add CSV option to this report.</w:t>
      </w:r>
    </w:p>
    <w:p w:rsidR="00000000" w:rsidDel="00000000" w:rsidP="00000000" w:rsidRDefault="00000000" w:rsidRPr="00000000" w14:paraId="00000039">
      <w:pPr>
        <w:numPr>
          <w:ilvl w:val="1"/>
          <w:numId w:val="1"/>
        </w:numPr>
        <w:spacing w:line="276" w:lineRule="auto"/>
        <w:ind w:left="1440" w:hanging="360"/>
      </w:pPr>
      <w:r w:rsidDel="00000000" w:rsidR="00000000" w:rsidRPr="00000000">
        <w:rPr>
          <w:color w:val="1f3864"/>
        </w:rPr>
        <w:drawing>
          <wp:inline distB="114300" distT="114300" distL="114300" distR="114300">
            <wp:extent cx="4143375" cy="2400300"/>
            <wp:effectExtent b="0" l="0" r="0" t="0"/>
            <wp:docPr id="1"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4143375" cy="2400300"/>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numPr>
          <w:ilvl w:val="0"/>
          <w:numId w:val="1"/>
        </w:numPr>
        <w:spacing w:line="276" w:lineRule="auto"/>
        <w:ind w:left="720" w:hanging="360"/>
      </w:pPr>
      <w:r w:rsidDel="00000000" w:rsidR="00000000" w:rsidRPr="00000000">
        <w:rPr>
          <w:rtl w:val="0"/>
        </w:rPr>
        <w:t xml:space="preserve">Cost Distribution &gt;Form 7</w:t>
      </w:r>
    </w:p>
    <w:p w:rsidR="00000000" w:rsidDel="00000000" w:rsidP="00000000" w:rsidRDefault="00000000" w:rsidRPr="00000000" w14:paraId="0000003B">
      <w:pPr>
        <w:numPr>
          <w:ilvl w:val="1"/>
          <w:numId w:val="1"/>
        </w:numPr>
        <w:spacing w:line="276" w:lineRule="auto"/>
        <w:ind w:left="1440" w:hanging="360"/>
        <w:rPr>
          <w:u w:val="none"/>
        </w:rPr>
      </w:pPr>
      <w:r w:rsidDel="00000000" w:rsidR="00000000" w:rsidRPr="00000000">
        <w:rPr>
          <w:u w:val="single"/>
          <w:rtl w:val="0"/>
        </w:rPr>
        <w:t xml:space="preserve">Change:</w:t>
      </w:r>
      <w:r w:rsidDel="00000000" w:rsidR="00000000" w:rsidRPr="00000000">
        <w:rPr>
          <w:rtl w:val="0"/>
        </w:rPr>
        <w:t xml:space="preserve"> Add system-generated column totals to allow for validation of data entry.  This would be similar to what is happening on the Form 5 page</w:t>
      </w:r>
    </w:p>
    <w:p w:rsidR="00000000" w:rsidDel="00000000" w:rsidP="00000000" w:rsidRDefault="00000000" w:rsidRPr="00000000" w14:paraId="0000003C">
      <w:pPr>
        <w:numPr>
          <w:ilvl w:val="1"/>
          <w:numId w:val="1"/>
        </w:numPr>
        <w:spacing w:line="276" w:lineRule="auto"/>
        <w:ind w:left="1440" w:hanging="360"/>
      </w:pPr>
      <w:r w:rsidDel="00000000" w:rsidR="00000000" w:rsidRPr="00000000">
        <w:rPr/>
        <w:drawing>
          <wp:inline distB="114300" distT="114300" distL="114300" distR="114300">
            <wp:extent cx="5943600" cy="1320800"/>
            <wp:effectExtent b="0" l="0" r="0" t="0"/>
            <wp:docPr id="6"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5943600" cy="132080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spacing w:line="276" w:lineRule="auto"/>
        <w:ind w:left="0" w:firstLine="0"/>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sectPr>
      <w:headerReference r:id="rId14"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pBdr>
        <w:top w:space="0" w:sz="0" w:val="nil"/>
        <w:left w:space="0" w:sz="0" w:val="nil"/>
        <w:bottom w:space="0" w:sz="0" w:val="nil"/>
        <w:right w:space="0" w:sz="0" w:val="nil"/>
        <w:between w:space="0" w:sz="0" w:val="nil"/>
      </w:pBdr>
      <w:jc w:val="center"/>
      <w:rPr>
        <w:b w:val="1"/>
        <w:sz w:val="60"/>
        <w:szCs w:val="60"/>
      </w:rPr>
    </w:pPr>
    <w:r w:rsidDel="00000000" w:rsidR="00000000" w:rsidRPr="00000000">
      <w:rPr>
        <w:b w:val="1"/>
        <w:sz w:val="60"/>
        <w:szCs w:val="60"/>
      </w:rPr>
      <w:drawing>
        <wp:inline distB="114300" distT="114300" distL="114300" distR="114300">
          <wp:extent cx="5086350" cy="733425"/>
          <wp:effectExtent b="0" l="0" r="0" t="0"/>
          <wp:docPr id="4"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5086350" cy="733425"/>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jc w:val="center"/>
      <w:rPr>
        <w:b w:val="1"/>
        <w:sz w:val="20"/>
        <w:szCs w:val="20"/>
      </w:rPr>
    </w:pPr>
    <w:hyperlink r:id="rId2">
      <w:r w:rsidDel="00000000" w:rsidR="00000000" w:rsidRPr="00000000">
        <w:rPr>
          <w:b w:val="1"/>
          <w:color w:val="1155cc"/>
          <w:sz w:val="20"/>
          <w:szCs w:val="20"/>
          <w:u w:val="single"/>
          <w:rtl w:val="0"/>
        </w:rPr>
        <w:t xml:space="preserve">www.rapsg.com</w:t>
      </w:r>
    </w:hyperlink>
    <w:r w:rsidDel="00000000" w:rsidR="00000000" w:rsidRPr="00000000">
      <w:rPr>
        <w:b w:val="1"/>
        <w:sz w:val="20"/>
        <w:szCs w:val="20"/>
        <w:rtl w:val="0"/>
      </w:rPr>
      <w:t xml:space="preserve">        </w:t>
      <w:tab/>
      <w:tab/>
      <w:tab/>
      <w:tab/>
      <w:tab/>
      <w:tab/>
      <w:tab/>
      <w:t xml:space="preserve">      407-720-8805</w:t>
    </w:r>
  </w:p>
  <w:p w:rsidR="00000000" w:rsidDel="00000000" w:rsidP="00000000" w:rsidRDefault="00000000" w:rsidRPr="00000000" w14:paraId="00000041">
    <w:pPr>
      <w:pBdr>
        <w:top w:space="0" w:sz="0" w:val="nil"/>
        <w:left w:space="0" w:sz="0" w:val="nil"/>
        <w:bottom w:space="0" w:sz="0" w:val="nil"/>
        <w:right w:space="0" w:sz="0" w:val="nil"/>
        <w:between w:space="0" w:sz="0" w:val="nil"/>
      </w:pBdr>
      <w:jc w:val="center"/>
      <w:rPr>
        <w:b w:val="1"/>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120" w:before="480" w:lineRule="auto"/>
    </w:pPr>
    <w:rPr>
      <w:b w:val="1"/>
      <w:sz w:val="36"/>
      <w:szCs w:val="36"/>
    </w:rPr>
  </w:style>
  <w:style w:type="paragraph" w:styleId="Heading2">
    <w:name w:val="heading 2"/>
    <w:basedOn w:val="Normal"/>
    <w:next w:val="Normal"/>
    <w:pPr>
      <w:spacing w:after="80" w:before="360" w:lineRule="auto"/>
    </w:pPr>
    <w:rPr>
      <w:b w:val="1"/>
      <w:sz w:val="28"/>
      <w:szCs w:val="28"/>
    </w:rPr>
  </w:style>
  <w:style w:type="paragraph" w:styleId="Heading3">
    <w:name w:val="heading 3"/>
    <w:basedOn w:val="Normal"/>
    <w:next w:val="Normal"/>
    <w:pPr>
      <w:spacing w:after="80" w:before="280" w:lineRule="auto"/>
    </w:pPr>
    <w:rPr>
      <w:b w:val="1"/>
      <w:color w:val="666666"/>
      <w:sz w:val="24"/>
      <w:szCs w:val="24"/>
    </w:rPr>
  </w:style>
  <w:style w:type="paragraph" w:styleId="Heading4">
    <w:name w:val="heading 4"/>
    <w:basedOn w:val="Normal"/>
    <w:next w:val="Normal"/>
    <w:pPr>
      <w:spacing w:after="40" w:before="240" w:lineRule="auto"/>
    </w:pPr>
    <w:rPr>
      <w:i w:val="1"/>
      <w:color w:val="666666"/>
    </w:rPr>
  </w:style>
  <w:style w:type="paragraph" w:styleId="Heading5">
    <w:name w:val="heading 5"/>
    <w:basedOn w:val="Normal"/>
    <w:next w:val="Normal"/>
    <w:pPr>
      <w:spacing w:after="40" w:before="220" w:lineRule="auto"/>
    </w:pPr>
    <w:rPr>
      <w:b w:val="1"/>
      <w:color w:val="666666"/>
      <w:sz w:val="20"/>
      <w:szCs w:val="20"/>
    </w:rPr>
  </w:style>
  <w:style w:type="paragraph" w:styleId="Heading6">
    <w:name w:val="heading 6"/>
    <w:basedOn w:val="Normal"/>
    <w:next w:val="Normal"/>
    <w:pPr>
      <w:spacing w:after="40" w:before="200" w:lineRule="auto"/>
    </w:pPr>
    <w:rPr>
      <w:i w:val="1"/>
      <w:color w:val="666666"/>
      <w:sz w:val="20"/>
      <w:szCs w:val="20"/>
    </w:rPr>
  </w:style>
  <w:style w:type="paragraph" w:styleId="Title">
    <w:name w:val="Title"/>
    <w:basedOn w:val="Normal"/>
    <w:next w:val="Normal"/>
    <w:pPr>
      <w:spacing w:after="120" w:before="480" w:lineRule="auto"/>
    </w:pPr>
    <w:rPr>
      <w:b w:val="1"/>
      <w:sz w:val="72"/>
      <w:szCs w:val="72"/>
    </w:rPr>
  </w:style>
  <w:style w:type="paragraph" w:styleId="Subtitle">
    <w:name w:val="Subtitle"/>
    <w:basedOn w:val="Normal"/>
    <w:next w:val="Normal"/>
    <w:pP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2.png"/><Relationship Id="rId13" Type="http://schemas.openxmlformats.org/officeDocument/2006/relationships/image" Target="media/image3.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rapsg.com/costreportweb.html" TargetMode="External"/><Relationship Id="rId7" Type="http://schemas.openxmlformats.org/officeDocument/2006/relationships/image" Target="media/image4.png"/><Relationship Id="rId8" Type="http://schemas.openxmlformats.org/officeDocument/2006/relationships/hyperlink" Target="mailto:support@raps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hyperlink" Target="http://www.raps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